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beforeAutospacing="0" w:after="0" w:afterAutospacing="0" w:line="579" w:lineRule="exact"/>
        <w:ind w:left="0" w:leftChars="0" w:firstLine="0" w:firstLineChars="0"/>
        <w:jc w:val="center"/>
        <w:textAlignment w:val="auto"/>
        <w:outlineLvl w:val="0"/>
        <w:rPr>
          <w:rFonts w:hint="eastAsia" w:ascii="方正小标宋简体" w:hAnsi="方正小标宋简体" w:eastAsia="方正小标宋简体" w:cs="方正小标宋简体"/>
          <w:b w:val="0"/>
          <w:i w:val="0"/>
          <w:caps w:val="0"/>
          <w:color w:val="333333"/>
          <w:spacing w:val="0"/>
          <w:sz w:val="44"/>
          <w:szCs w:val="44"/>
          <w:shd w:val="clear" w:color="auto" w:fill="FFFFFF"/>
          <w:lang w:val="en-US" w:eastAsia="zh-CN" w:bidi="ar-SA"/>
        </w:rPr>
      </w:pPr>
      <w:r>
        <w:rPr>
          <w:rFonts w:hint="eastAsia" w:ascii="方正小标宋简体" w:hAnsi="方正小标宋简体" w:eastAsia="方正小标宋简体" w:cs="方正小标宋简体"/>
          <w:b w:val="0"/>
          <w:i w:val="0"/>
          <w:caps w:val="0"/>
          <w:color w:val="333333"/>
          <w:spacing w:val="0"/>
          <w:sz w:val="44"/>
          <w:szCs w:val="44"/>
          <w:shd w:val="clear" w:color="auto" w:fill="FFFFFF"/>
          <w:lang w:val="en-US" w:eastAsia="zh-CN" w:bidi="ar-SA"/>
        </w:rPr>
        <w:t>甘肃股权交易中心关于联合深圳证券交易所举办专精特新企业上市赋能“强基”系列专题培训的通知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79" w:lineRule="exact"/>
        <w:ind w:left="0" w:right="0" w:firstLine="0"/>
        <w:jc w:val="both"/>
        <w:textAlignment w:val="auto"/>
        <w:rPr>
          <w:rFonts w:hint="eastAsia" w:ascii="仿宋_GB2312" w:hAnsi="仿宋_GB2312" w:eastAsia="仿宋_GB2312" w:cs="仿宋_GB2312"/>
          <w:i w:val="0"/>
          <w:iCs w:val="0"/>
          <w:caps w:val="0"/>
          <w:color w:val="222222"/>
          <w:spacing w:val="4"/>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56"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22222"/>
          <w:spacing w:val="4"/>
          <w:sz w:val="32"/>
          <w:szCs w:val="32"/>
          <w:shd w:val="clear" w:fill="FFFFFF"/>
        </w:rPr>
        <w:t>为了深入贯彻落实国家关于培育专精特新企业的决策部署，为中小企业强基固链，加快推进专精特新企业高质量发展，进一步推动企业核心决策层在上市前就树立起规范经营的意识，提升综合运用资本市场的能力，</w:t>
      </w:r>
      <w:r>
        <w:rPr>
          <w:rFonts w:hint="eastAsia" w:ascii="仿宋_GB2312" w:hAnsi="仿宋_GB2312" w:eastAsia="仿宋_GB2312" w:cs="仿宋_GB2312"/>
          <w:i w:val="0"/>
          <w:iCs w:val="0"/>
          <w:caps w:val="0"/>
          <w:color w:val="222222"/>
          <w:spacing w:val="4"/>
          <w:sz w:val="32"/>
          <w:szCs w:val="32"/>
          <w:shd w:val="clear" w:fill="FFFFFF"/>
          <w:lang w:val="en-US" w:eastAsia="zh-CN"/>
        </w:rPr>
        <w:t>甘肃</w:t>
      </w:r>
      <w:r>
        <w:rPr>
          <w:rFonts w:hint="eastAsia" w:ascii="仿宋_GB2312" w:hAnsi="仿宋_GB2312" w:eastAsia="仿宋_GB2312" w:cs="仿宋_GB2312"/>
          <w:i w:val="0"/>
          <w:iCs w:val="0"/>
          <w:caps w:val="0"/>
          <w:color w:val="222222"/>
          <w:spacing w:val="4"/>
          <w:sz w:val="32"/>
          <w:szCs w:val="32"/>
          <w:shd w:val="clear" w:fill="FFFFFF"/>
        </w:rPr>
        <w:t>股权交易中心联合深圳证券交易所举办专精特新企业上市赋能“强基”系列专题培训。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56"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E3E3E"/>
          <w:spacing w:val="4"/>
          <w:sz w:val="32"/>
          <w:szCs w:val="32"/>
          <w:shd w:val="clear" w:fill="FFFFFF"/>
        </w:rPr>
        <w:t>本次培训采用</w:t>
      </w:r>
      <w:r>
        <w:rPr>
          <w:rStyle w:val="7"/>
          <w:rFonts w:hint="eastAsia" w:ascii="仿宋_GB2312" w:hAnsi="仿宋_GB2312" w:eastAsia="仿宋_GB2312" w:cs="仿宋_GB2312"/>
          <w:i w:val="0"/>
          <w:iCs w:val="0"/>
          <w:caps w:val="0"/>
          <w:color w:val="3D5E9F"/>
          <w:spacing w:val="4"/>
          <w:sz w:val="32"/>
          <w:szCs w:val="32"/>
          <w:shd w:val="clear" w:fill="FFFFFF"/>
        </w:rPr>
        <w:t>线上培训</w:t>
      </w:r>
      <w:r>
        <w:rPr>
          <w:rFonts w:hint="eastAsia" w:ascii="仿宋_GB2312" w:hAnsi="仿宋_GB2312" w:eastAsia="仿宋_GB2312" w:cs="仿宋_GB2312"/>
          <w:i w:val="0"/>
          <w:iCs w:val="0"/>
          <w:caps w:val="0"/>
          <w:color w:val="3E3E3E"/>
          <w:spacing w:val="4"/>
          <w:sz w:val="32"/>
          <w:szCs w:val="32"/>
          <w:shd w:val="clear" w:fill="FFFFFF"/>
        </w:rPr>
        <w:t>的方式，面向</w:t>
      </w:r>
      <w:r>
        <w:rPr>
          <w:rStyle w:val="7"/>
          <w:rFonts w:hint="eastAsia" w:ascii="仿宋_GB2312" w:hAnsi="仿宋_GB2312" w:eastAsia="仿宋_GB2312" w:cs="仿宋_GB2312"/>
          <w:i w:val="0"/>
          <w:iCs w:val="0"/>
          <w:caps w:val="0"/>
          <w:color w:val="3D5E9F"/>
          <w:spacing w:val="4"/>
          <w:sz w:val="32"/>
          <w:szCs w:val="32"/>
          <w:shd w:val="clear" w:fill="FFFFFF"/>
          <w:lang w:val="en-US" w:eastAsia="zh-CN"/>
        </w:rPr>
        <w:t>甘肃</w:t>
      </w:r>
      <w:r>
        <w:rPr>
          <w:rStyle w:val="7"/>
          <w:rFonts w:hint="eastAsia" w:ascii="仿宋_GB2312" w:hAnsi="仿宋_GB2312" w:eastAsia="仿宋_GB2312" w:cs="仿宋_GB2312"/>
          <w:i w:val="0"/>
          <w:iCs w:val="0"/>
          <w:caps w:val="0"/>
          <w:color w:val="3D5E9F"/>
          <w:spacing w:val="4"/>
          <w:sz w:val="32"/>
          <w:szCs w:val="32"/>
          <w:shd w:val="clear" w:fill="FFFFFF"/>
        </w:rPr>
        <w:t>省辖区内的“专精特新”企业，免费开放</w:t>
      </w:r>
      <w:r>
        <w:rPr>
          <w:rFonts w:hint="eastAsia" w:ascii="仿宋_GB2312" w:hAnsi="仿宋_GB2312" w:eastAsia="仿宋_GB2312" w:cs="仿宋_GB2312"/>
          <w:i w:val="0"/>
          <w:iCs w:val="0"/>
          <w:caps w:val="0"/>
          <w:color w:val="3E3E3E"/>
          <w:spacing w:val="4"/>
          <w:sz w:val="32"/>
          <w:szCs w:val="32"/>
          <w:shd w:val="clear" w:fill="FFFFFF"/>
        </w:rPr>
        <w:t>本次课程学习。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656" w:firstLineChars="200"/>
        <w:jc w:val="both"/>
        <w:textAlignment w:val="auto"/>
        <w:rPr>
          <w:rFonts w:hint="eastAsia" w:ascii="黑体" w:hAnsi="黑体" w:eastAsia="黑体" w:cs="黑体"/>
          <w:b w:val="0"/>
          <w:bCs/>
          <w:sz w:val="32"/>
          <w:szCs w:val="32"/>
        </w:rPr>
      </w:pPr>
      <w:r>
        <w:rPr>
          <w:rStyle w:val="7"/>
          <w:rFonts w:hint="eastAsia" w:ascii="黑体" w:hAnsi="黑体" w:eastAsia="黑体" w:cs="黑体"/>
          <w:b w:val="0"/>
          <w:bCs/>
          <w:i w:val="0"/>
          <w:iCs w:val="0"/>
          <w:caps w:val="0"/>
          <w:color w:val="222222"/>
          <w:spacing w:val="4"/>
          <w:sz w:val="32"/>
          <w:szCs w:val="32"/>
          <w:shd w:val="clear" w:fill="FFFFFF"/>
        </w:rPr>
        <w:t>一、培训对象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56"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22222"/>
          <w:spacing w:val="4"/>
          <w:sz w:val="32"/>
          <w:szCs w:val="32"/>
          <w:shd w:val="clear" w:fill="FFFFFF"/>
        </w:rPr>
        <w:t>经工信部认定的专精特新“小巨人”企业、制造业单项冠军企业、省级专精特新中小企业的董监高及上市工作负责人。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656" w:firstLineChars="200"/>
        <w:jc w:val="both"/>
        <w:textAlignment w:val="auto"/>
        <w:rPr>
          <w:rStyle w:val="7"/>
          <w:rFonts w:hint="eastAsia" w:ascii="黑体" w:hAnsi="黑体" w:eastAsia="黑体" w:cs="黑体"/>
          <w:b w:val="0"/>
          <w:bCs/>
          <w:i w:val="0"/>
          <w:iCs w:val="0"/>
          <w:caps w:val="0"/>
          <w:color w:val="222222"/>
          <w:spacing w:val="4"/>
          <w:sz w:val="32"/>
          <w:szCs w:val="32"/>
          <w:shd w:val="clear" w:fill="FFFFFF"/>
        </w:rPr>
      </w:pPr>
      <w:r>
        <w:rPr>
          <w:rStyle w:val="7"/>
          <w:rFonts w:hint="eastAsia" w:ascii="黑体" w:hAnsi="黑体" w:eastAsia="黑体" w:cs="黑体"/>
          <w:b w:val="0"/>
          <w:bCs/>
          <w:i w:val="0"/>
          <w:iCs w:val="0"/>
          <w:caps w:val="0"/>
          <w:color w:val="222222"/>
          <w:spacing w:val="4"/>
          <w:sz w:val="32"/>
          <w:szCs w:val="32"/>
          <w:shd w:val="clear" w:fill="FFFFFF"/>
        </w:rPr>
        <w:t>二、培训内容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59" w:firstLineChars="200"/>
        <w:jc w:val="both"/>
        <w:textAlignment w:val="auto"/>
        <w:rPr>
          <w:rFonts w:hint="eastAsia" w:ascii="楷体" w:hAnsi="楷体" w:eastAsia="楷体" w:cs="楷体"/>
          <w:color w:val="auto"/>
          <w:sz w:val="32"/>
          <w:szCs w:val="32"/>
        </w:rPr>
      </w:pPr>
      <w:r>
        <w:rPr>
          <w:rStyle w:val="7"/>
          <w:rFonts w:hint="eastAsia" w:ascii="楷体" w:hAnsi="楷体" w:eastAsia="楷体" w:cs="楷体"/>
          <w:i w:val="0"/>
          <w:iCs w:val="0"/>
          <w:caps w:val="0"/>
          <w:color w:val="auto"/>
          <w:spacing w:val="4"/>
          <w:sz w:val="32"/>
          <w:szCs w:val="32"/>
          <w:shd w:val="clear" w:fill="FFFFFF"/>
        </w:rPr>
        <w:t>（一）课程设置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56"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22222"/>
          <w:spacing w:val="4"/>
          <w:sz w:val="32"/>
          <w:szCs w:val="32"/>
          <w:shd w:val="clear" w:fill="FFFFFF"/>
        </w:rPr>
        <w:t>培训内容为强基系列专题之筑基篇，聚焦中小企业改制上市重点难点问题，注重内容实操性，分为资本市场介绍、商业模式与尽职调查、股权结构三大板块，由深圳证券交易所与市场机构资深专家共同讲授。具体课程详见附件</w:t>
      </w:r>
      <w:r>
        <w:rPr>
          <w:rFonts w:hint="eastAsia" w:ascii="仿宋_GB2312" w:hAnsi="仿宋_GB2312" w:eastAsia="仿宋_GB2312" w:cs="仿宋_GB2312"/>
          <w:i w:val="0"/>
          <w:iCs w:val="0"/>
          <w:caps w:val="0"/>
          <w:color w:val="222222"/>
          <w:spacing w:val="4"/>
          <w:sz w:val="32"/>
          <w:szCs w:val="32"/>
          <w:shd w:val="clear" w:fill="FFFFFF"/>
          <w:lang w:val="en-US" w:eastAsia="zh-CN"/>
        </w:rPr>
        <w:t>1</w:t>
      </w:r>
      <w:r>
        <w:rPr>
          <w:rFonts w:hint="eastAsia" w:ascii="仿宋_GB2312" w:hAnsi="仿宋_GB2312" w:eastAsia="仿宋_GB2312" w:cs="仿宋_GB2312"/>
          <w:i w:val="0"/>
          <w:iCs w:val="0"/>
          <w:caps w:val="0"/>
          <w:color w:val="222222"/>
          <w:spacing w:val="4"/>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59" w:firstLineChars="200"/>
        <w:jc w:val="both"/>
        <w:textAlignment w:val="auto"/>
        <w:rPr>
          <w:rStyle w:val="7"/>
          <w:rFonts w:hint="eastAsia" w:ascii="楷体" w:hAnsi="楷体" w:eastAsia="楷体" w:cs="楷体"/>
          <w:i w:val="0"/>
          <w:iCs w:val="0"/>
          <w:caps w:val="0"/>
          <w:color w:val="auto"/>
          <w:spacing w:val="4"/>
          <w:sz w:val="32"/>
          <w:szCs w:val="32"/>
          <w:shd w:val="clear" w:fill="FFFFFF"/>
        </w:rPr>
      </w:pPr>
      <w:r>
        <w:rPr>
          <w:rStyle w:val="7"/>
          <w:rFonts w:hint="eastAsia" w:ascii="楷体" w:hAnsi="楷体" w:eastAsia="楷体" w:cs="楷体"/>
          <w:i w:val="0"/>
          <w:iCs w:val="0"/>
          <w:caps w:val="0"/>
          <w:color w:val="auto"/>
          <w:spacing w:val="4"/>
          <w:sz w:val="32"/>
          <w:szCs w:val="32"/>
          <w:shd w:val="clear" w:fill="FFFFFF"/>
        </w:rPr>
        <w:t>（二）培训时限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56"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22222"/>
          <w:spacing w:val="4"/>
          <w:sz w:val="32"/>
          <w:szCs w:val="32"/>
          <w:shd w:val="clear" w:fill="FFFFFF"/>
        </w:rPr>
        <w:t>通过报名审核的学员可在一个月内不限次数观看本专题培训课程，具体时间待</w:t>
      </w:r>
      <w:r>
        <w:rPr>
          <w:rFonts w:hint="eastAsia" w:ascii="仿宋_GB2312" w:hAnsi="仿宋_GB2312" w:eastAsia="仿宋_GB2312" w:cs="仿宋_GB2312"/>
          <w:i w:val="0"/>
          <w:iCs w:val="0"/>
          <w:caps w:val="0"/>
          <w:color w:val="222222"/>
          <w:spacing w:val="4"/>
          <w:sz w:val="32"/>
          <w:szCs w:val="32"/>
          <w:shd w:val="clear" w:fill="FFFFFF"/>
          <w:lang w:val="en-US" w:eastAsia="zh-CN"/>
        </w:rPr>
        <w:t>甘</w:t>
      </w:r>
      <w:r>
        <w:rPr>
          <w:rFonts w:hint="eastAsia" w:ascii="仿宋_GB2312" w:hAnsi="仿宋_GB2312" w:eastAsia="仿宋_GB2312" w:cs="仿宋_GB2312"/>
          <w:i w:val="0"/>
          <w:iCs w:val="0"/>
          <w:caps w:val="0"/>
          <w:color w:val="222222"/>
          <w:spacing w:val="4"/>
          <w:sz w:val="32"/>
          <w:szCs w:val="32"/>
          <w:shd w:val="clear" w:fill="FFFFFF"/>
        </w:rPr>
        <w:t>股交通知。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656" w:firstLineChars="200"/>
        <w:jc w:val="both"/>
        <w:textAlignment w:val="auto"/>
        <w:rPr>
          <w:rStyle w:val="7"/>
          <w:rFonts w:hint="eastAsia" w:ascii="黑体" w:hAnsi="黑体" w:eastAsia="黑体" w:cs="黑体"/>
          <w:b w:val="0"/>
          <w:bCs/>
          <w:i w:val="0"/>
          <w:iCs w:val="0"/>
          <w:caps w:val="0"/>
          <w:color w:val="222222"/>
          <w:spacing w:val="4"/>
          <w:sz w:val="32"/>
          <w:szCs w:val="32"/>
          <w:shd w:val="clear" w:fill="FFFFFF"/>
        </w:rPr>
      </w:pPr>
      <w:r>
        <w:rPr>
          <w:rStyle w:val="7"/>
          <w:rFonts w:hint="eastAsia" w:ascii="黑体" w:hAnsi="黑体" w:eastAsia="黑体" w:cs="黑体"/>
          <w:b w:val="0"/>
          <w:bCs/>
          <w:i w:val="0"/>
          <w:iCs w:val="0"/>
          <w:caps w:val="0"/>
          <w:color w:val="222222"/>
          <w:spacing w:val="4"/>
          <w:sz w:val="32"/>
          <w:szCs w:val="32"/>
          <w:shd w:val="clear" w:fill="FFFFFF"/>
        </w:rPr>
        <w:t>三、报名方式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56"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22222"/>
          <w:spacing w:val="4"/>
          <w:sz w:val="32"/>
          <w:szCs w:val="32"/>
          <w:shd w:val="clear" w:fill="FFFFFF"/>
        </w:rPr>
        <w:t>请如实填写报名人员信息，于</w:t>
      </w:r>
      <w:r>
        <w:rPr>
          <w:rStyle w:val="7"/>
          <w:rFonts w:hint="eastAsia" w:ascii="仿宋_GB2312" w:hAnsi="仿宋_GB2312" w:eastAsia="仿宋_GB2312" w:cs="仿宋_GB2312"/>
          <w:i w:val="0"/>
          <w:iCs w:val="0"/>
          <w:caps w:val="0"/>
          <w:color w:val="3D5E9F"/>
          <w:spacing w:val="4"/>
          <w:sz w:val="32"/>
          <w:szCs w:val="32"/>
          <w:shd w:val="clear" w:fill="FFFFFF"/>
        </w:rPr>
        <w:t>1</w:t>
      </w:r>
      <w:r>
        <w:rPr>
          <w:rStyle w:val="7"/>
          <w:rFonts w:hint="eastAsia" w:ascii="仿宋_GB2312" w:hAnsi="仿宋_GB2312" w:eastAsia="仿宋_GB2312" w:cs="仿宋_GB2312"/>
          <w:i w:val="0"/>
          <w:iCs w:val="0"/>
          <w:caps w:val="0"/>
          <w:color w:val="3D5E9F"/>
          <w:spacing w:val="4"/>
          <w:sz w:val="32"/>
          <w:szCs w:val="32"/>
          <w:shd w:val="clear" w:fill="FFFFFF"/>
          <w:lang w:val="en-US" w:eastAsia="zh-CN"/>
        </w:rPr>
        <w:t>1</w:t>
      </w:r>
      <w:r>
        <w:rPr>
          <w:rStyle w:val="7"/>
          <w:rFonts w:hint="eastAsia" w:ascii="仿宋_GB2312" w:hAnsi="仿宋_GB2312" w:eastAsia="仿宋_GB2312" w:cs="仿宋_GB2312"/>
          <w:i w:val="0"/>
          <w:iCs w:val="0"/>
          <w:caps w:val="0"/>
          <w:color w:val="3D5E9F"/>
          <w:spacing w:val="4"/>
          <w:sz w:val="32"/>
          <w:szCs w:val="32"/>
          <w:shd w:val="clear" w:fill="FFFFFF"/>
        </w:rPr>
        <w:t>月</w:t>
      </w:r>
      <w:r>
        <w:rPr>
          <w:rStyle w:val="7"/>
          <w:rFonts w:hint="eastAsia" w:ascii="仿宋_GB2312" w:hAnsi="仿宋_GB2312" w:eastAsia="仿宋_GB2312" w:cs="仿宋_GB2312"/>
          <w:i w:val="0"/>
          <w:iCs w:val="0"/>
          <w:caps w:val="0"/>
          <w:color w:val="3D5E9F"/>
          <w:spacing w:val="4"/>
          <w:sz w:val="32"/>
          <w:szCs w:val="32"/>
          <w:shd w:val="clear" w:fill="FFFFFF"/>
          <w:lang w:val="en-US" w:eastAsia="zh-CN"/>
        </w:rPr>
        <w:t>18</w:t>
      </w:r>
      <w:r>
        <w:rPr>
          <w:rStyle w:val="7"/>
          <w:rFonts w:hint="eastAsia" w:ascii="仿宋_GB2312" w:hAnsi="仿宋_GB2312" w:eastAsia="仿宋_GB2312" w:cs="仿宋_GB2312"/>
          <w:i w:val="0"/>
          <w:iCs w:val="0"/>
          <w:caps w:val="0"/>
          <w:color w:val="3D5E9F"/>
          <w:spacing w:val="4"/>
          <w:sz w:val="32"/>
          <w:szCs w:val="32"/>
          <w:shd w:val="clear" w:fill="FFFFFF"/>
        </w:rPr>
        <w:t>日17:00</w:t>
      </w:r>
      <w:r>
        <w:rPr>
          <w:rFonts w:hint="eastAsia" w:ascii="仿宋_GB2312" w:hAnsi="仿宋_GB2312" w:eastAsia="仿宋_GB2312" w:cs="仿宋_GB2312"/>
          <w:i w:val="0"/>
          <w:iCs w:val="0"/>
          <w:caps w:val="0"/>
          <w:color w:val="222222"/>
          <w:spacing w:val="4"/>
          <w:sz w:val="32"/>
          <w:szCs w:val="32"/>
          <w:shd w:val="clear" w:fill="FFFFFF"/>
        </w:rPr>
        <w:t>前将</w:t>
      </w:r>
      <w:r>
        <w:rPr>
          <w:rStyle w:val="7"/>
          <w:rFonts w:hint="eastAsia" w:ascii="仿宋_GB2312" w:hAnsi="仿宋_GB2312" w:eastAsia="仿宋_GB2312" w:cs="仿宋_GB2312"/>
          <w:i w:val="0"/>
          <w:iCs w:val="0"/>
          <w:caps w:val="0"/>
          <w:color w:val="3D5E9F"/>
          <w:spacing w:val="4"/>
          <w:sz w:val="32"/>
          <w:szCs w:val="32"/>
          <w:shd w:val="clear" w:fill="FFFFFF"/>
        </w:rPr>
        <w:t>《报名回执》</w:t>
      </w:r>
      <w:r>
        <w:rPr>
          <w:rFonts w:hint="eastAsia" w:ascii="仿宋_GB2312" w:hAnsi="仿宋_GB2312" w:eastAsia="仿宋_GB2312" w:cs="仿宋_GB2312"/>
          <w:i w:val="0"/>
          <w:iCs w:val="0"/>
          <w:caps w:val="0"/>
          <w:color w:val="222222"/>
          <w:spacing w:val="4"/>
          <w:sz w:val="32"/>
          <w:szCs w:val="32"/>
          <w:shd w:val="clear" w:fill="FFFFFF"/>
        </w:rPr>
        <w:t>发送至邮箱</w:t>
      </w:r>
      <w:r>
        <w:rPr>
          <w:rStyle w:val="7"/>
          <w:rFonts w:hint="eastAsia" w:ascii="仿宋_GB2312" w:hAnsi="仿宋_GB2312" w:eastAsia="仿宋_GB2312" w:cs="仿宋_GB2312"/>
          <w:i w:val="0"/>
          <w:iCs w:val="0"/>
          <w:caps w:val="0"/>
          <w:color w:val="3D5E9F"/>
          <w:spacing w:val="4"/>
          <w:sz w:val="32"/>
          <w:szCs w:val="32"/>
          <w:shd w:val="clear" w:fill="FFFFFF"/>
          <w:lang w:val="en-US" w:eastAsia="zh-CN"/>
        </w:rPr>
        <w:t>baimy</w:t>
      </w:r>
      <w:r>
        <w:rPr>
          <w:rStyle w:val="7"/>
          <w:rFonts w:hint="eastAsia" w:ascii="仿宋_GB2312" w:hAnsi="仿宋_GB2312" w:eastAsia="仿宋_GB2312" w:cs="仿宋_GB2312"/>
          <w:i w:val="0"/>
          <w:iCs w:val="0"/>
          <w:caps w:val="0"/>
          <w:color w:val="3D5E9F"/>
          <w:spacing w:val="4"/>
          <w:sz w:val="32"/>
          <w:szCs w:val="32"/>
          <w:shd w:val="clear" w:fill="FFFFFF"/>
        </w:rPr>
        <w:t>@</w:t>
      </w:r>
      <w:r>
        <w:rPr>
          <w:rStyle w:val="7"/>
          <w:rFonts w:hint="eastAsia" w:ascii="仿宋_GB2312" w:hAnsi="仿宋_GB2312" w:eastAsia="仿宋_GB2312" w:cs="仿宋_GB2312"/>
          <w:i w:val="0"/>
          <w:iCs w:val="0"/>
          <w:caps w:val="0"/>
          <w:color w:val="3D5E9F"/>
          <w:spacing w:val="4"/>
          <w:sz w:val="32"/>
          <w:szCs w:val="32"/>
          <w:shd w:val="clear" w:fill="FFFFFF"/>
          <w:lang w:val="en-US" w:eastAsia="zh-CN"/>
        </w:rPr>
        <w:t>gsotc</w:t>
      </w:r>
      <w:r>
        <w:rPr>
          <w:rStyle w:val="7"/>
          <w:rFonts w:hint="eastAsia" w:ascii="仿宋_GB2312" w:hAnsi="仿宋_GB2312" w:eastAsia="仿宋_GB2312" w:cs="仿宋_GB2312"/>
          <w:i w:val="0"/>
          <w:iCs w:val="0"/>
          <w:caps w:val="0"/>
          <w:color w:val="3D5E9F"/>
          <w:spacing w:val="4"/>
          <w:sz w:val="32"/>
          <w:szCs w:val="32"/>
          <w:shd w:val="clear" w:fill="FFFFFF"/>
        </w:rPr>
        <w:t>.com</w:t>
      </w:r>
      <w:r>
        <w:rPr>
          <w:rStyle w:val="7"/>
          <w:rFonts w:hint="eastAsia" w:ascii="仿宋_GB2312" w:hAnsi="仿宋_GB2312" w:eastAsia="仿宋_GB2312" w:cs="仿宋_GB2312"/>
          <w:i w:val="0"/>
          <w:iCs w:val="0"/>
          <w:caps w:val="0"/>
          <w:color w:val="3D5E9F"/>
          <w:spacing w:val="4"/>
          <w:sz w:val="32"/>
          <w:szCs w:val="32"/>
          <w:shd w:val="clear" w:fill="FFFFFF"/>
          <w:lang w:val="en-US" w:eastAsia="zh-CN"/>
        </w:rPr>
        <w:t>.cn</w:t>
      </w:r>
      <w:r>
        <w:rPr>
          <w:rFonts w:hint="eastAsia" w:ascii="仿宋_GB2312" w:hAnsi="仿宋_GB2312" w:eastAsia="仿宋_GB2312" w:cs="仿宋_GB2312"/>
          <w:i w:val="0"/>
          <w:iCs w:val="0"/>
          <w:caps w:val="0"/>
          <w:color w:val="222222"/>
          <w:spacing w:val="4"/>
          <w:sz w:val="32"/>
          <w:szCs w:val="32"/>
          <w:shd w:val="clear" w:fill="FFFFFF"/>
        </w:rPr>
        <w:t>，</w:t>
      </w:r>
      <w:r>
        <w:rPr>
          <w:rFonts w:hint="eastAsia" w:ascii="仿宋_GB2312" w:hAnsi="仿宋_GB2312" w:eastAsia="仿宋_GB2312" w:cs="仿宋_GB2312"/>
          <w:i w:val="0"/>
          <w:iCs w:val="0"/>
          <w:caps w:val="0"/>
          <w:color w:val="222222"/>
          <w:spacing w:val="4"/>
          <w:sz w:val="32"/>
          <w:szCs w:val="32"/>
          <w:shd w:val="clear" w:fill="FFFFFF"/>
          <w:lang w:val="en-US" w:eastAsia="zh-CN"/>
        </w:rPr>
        <w:t>甘</w:t>
      </w:r>
      <w:r>
        <w:rPr>
          <w:rFonts w:hint="eastAsia" w:ascii="仿宋_GB2312" w:hAnsi="仿宋_GB2312" w:eastAsia="仿宋_GB2312" w:cs="仿宋_GB2312"/>
          <w:i w:val="0"/>
          <w:iCs w:val="0"/>
          <w:caps w:val="0"/>
          <w:color w:val="222222"/>
          <w:spacing w:val="4"/>
          <w:sz w:val="32"/>
          <w:szCs w:val="32"/>
          <w:shd w:val="clear" w:fill="FFFFFF"/>
        </w:rPr>
        <w:t>股交将进行报名审核，审核结果和线上培训课程链接、账号及密码将以短信方式通知报名人员。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656" w:firstLineChars="200"/>
        <w:jc w:val="both"/>
        <w:textAlignment w:val="auto"/>
        <w:rPr>
          <w:rStyle w:val="7"/>
          <w:rFonts w:hint="eastAsia" w:ascii="黑体" w:hAnsi="黑体" w:eastAsia="黑体" w:cs="黑体"/>
          <w:b w:val="0"/>
          <w:bCs/>
          <w:i w:val="0"/>
          <w:iCs w:val="0"/>
          <w:caps w:val="0"/>
          <w:color w:val="222222"/>
          <w:spacing w:val="4"/>
          <w:sz w:val="32"/>
          <w:szCs w:val="32"/>
          <w:shd w:val="clear" w:fill="FFFFFF"/>
        </w:rPr>
      </w:pPr>
      <w:r>
        <w:rPr>
          <w:rStyle w:val="7"/>
          <w:rFonts w:hint="eastAsia" w:ascii="黑体" w:hAnsi="黑体" w:eastAsia="黑体" w:cs="黑体"/>
          <w:b w:val="0"/>
          <w:bCs/>
          <w:i w:val="0"/>
          <w:iCs w:val="0"/>
          <w:caps w:val="0"/>
          <w:color w:val="222222"/>
          <w:spacing w:val="4"/>
          <w:sz w:val="32"/>
          <w:szCs w:val="32"/>
          <w:shd w:val="clear" w:fill="FFFFFF"/>
        </w:rPr>
        <w:t>四、温馨提示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56"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22222"/>
          <w:spacing w:val="4"/>
          <w:sz w:val="32"/>
          <w:szCs w:val="32"/>
          <w:shd w:val="clear" w:fill="FFFFFF"/>
        </w:rPr>
        <w:t>（一）学员可通过“深交所创新成长学院”手机APP、电脑端网页观看线上视频课程，登入后需从个人中心查看相关课程。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56"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22222"/>
          <w:spacing w:val="4"/>
          <w:sz w:val="32"/>
          <w:szCs w:val="32"/>
          <w:shd w:val="clear" w:fill="FFFFFF"/>
        </w:rPr>
        <w:t>（二）本培训所有讲课视频等资料仅作个人学习用途，不得对外传播。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656" w:firstLineChars="200"/>
        <w:jc w:val="both"/>
        <w:textAlignment w:val="auto"/>
        <w:rPr>
          <w:rStyle w:val="7"/>
          <w:rFonts w:hint="eastAsia" w:ascii="黑体" w:hAnsi="黑体" w:eastAsia="黑体" w:cs="黑体"/>
          <w:b w:val="0"/>
          <w:bCs/>
          <w:i w:val="0"/>
          <w:iCs w:val="0"/>
          <w:caps w:val="0"/>
          <w:color w:val="222222"/>
          <w:spacing w:val="4"/>
          <w:sz w:val="32"/>
          <w:szCs w:val="32"/>
          <w:shd w:val="clear" w:fill="FFFFFF"/>
        </w:rPr>
      </w:pPr>
      <w:r>
        <w:rPr>
          <w:rStyle w:val="7"/>
          <w:rFonts w:hint="eastAsia" w:ascii="黑体" w:hAnsi="黑体" w:eastAsia="黑体" w:cs="黑体"/>
          <w:b w:val="0"/>
          <w:bCs/>
          <w:i w:val="0"/>
          <w:iCs w:val="0"/>
          <w:caps w:val="0"/>
          <w:color w:val="222222"/>
          <w:spacing w:val="4"/>
          <w:sz w:val="32"/>
          <w:szCs w:val="32"/>
          <w:shd w:val="clear" w:fill="FFFFFF"/>
        </w:rPr>
        <w:t>五、培训咨询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56"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i w:val="0"/>
          <w:iCs w:val="0"/>
          <w:caps w:val="0"/>
          <w:color w:val="222222"/>
          <w:spacing w:val="4"/>
          <w:sz w:val="32"/>
          <w:szCs w:val="32"/>
          <w:shd w:val="clear" w:fill="FFFFFF"/>
          <w:lang w:val="en-US" w:eastAsia="zh-CN"/>
        </w:rPr>
        <w:t>杨经理</w:t>
      </w:r>
      <w:r>
        <w:rPr>
          <w:rFonts w:hint="eastAsia" w:ascii="仿宋_GB2312" w:hAnsi="仿宋_GB2312" w:eastAsia="仿宋_GB2312" w:cs="仿宋_GB2312"/>
          <w:i w:val="0"/>
          <w:iCs w:val="0"/>
          <w:caps w:val="0"/>
          <w:color w:val="222222"/>
          <w:spacing w:val="4"/>
          <w:sz w:val="32"/>
          <w:szCs w:val="32"/>
          <w:shd w:val="clear" w:fill="FFFFFF"/>
          <w:lang w:eastAsia="zh-CN"/>
        </w:rPr>
        <w:t>：</w:t>
      </w:r>
      <w:r>
        <w:rPr>
          <w:rFonts w:hint="eastAsia" w:ascii="仿宋_GB2312" w:hAnsi="仿宋_GB2312" w:eastAsia="仿宋_GB2312" w:cs="仿宋_GB2312"/>
          <w:i w:val="0"/>
          <w:iCs w:val="0"/>
          <w:caps w:val="0"/>
          <w:color w:val="222222"/>
          <w:spacing w:val="4"/>
          <w:sz w:val="32"/>
          <w:szCs w:val="32"/>
          <w:shd w:val="clear" w:fill="FFFFFF"/>
          <w:lang w:val="en-US" w:eastAsia="zh-CN"/>
        </w:rPr>
        <w:t>0931-8732973，18215102326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56" w:firstLineChars="200"/>
        <w:jc w:val="both"/>
        <w:textAlignment w:val="auto"/>
        <w:rPr>
          <w:rFonts w:hint="default" w:ascii="仿宋_GB2312" w:hAnsi="仿宋_GB2312" w:eastAsia="仿宋_GB2312" w:cs="仿宋_GB2312"/>
          <w:i w:val="0"/>
          <w:iCs w:val="0"/>
          <w:caps w:val="0"/>
          <w:color w:val="222222"/>
          <w:spacing w:val="4"/>
          <w:sz w:val="32"/>
          <w:szCs w:val="32"/>
          <w:shd w:val="clear" w:fill="FFFFFF"/>
          <w:lang w:val="en-US" w:eastAsia="zh-CN"/>
        </w:rPr>
      </w:pPr>
      <w:r>
        <w:rPr>
          <w:rFonts w:hint="eastAsia" w:ascii="仿宋_GB2312" w:hAnsi="仿宋_GB2312" w:eastAsia="仿宋_GB2312" w:cs="仿宋_GB2312"/>
          <w:i w:val="0"/>
          <w:iCs w:val="0"/>
          <w:caps w:val="0"/>
          <w:color w:val="222222"/>
          <w:spacing w:val="4"/>
          <w:sz w:val="32"/>
          <w:szCs w:val="32"/>
          <w:shd w:val="clear" w:fill="FFFFFF"/>
          <w:lang w:val="en-US" w:eastAsia="zh-CN"/>
        </w:rPr>
        <w:t>柏经理：0931-8732973，13919886330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56"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i w:val="0"/>
          <w:iCs w:val="0"/>
          <w:caps w:val="0"/>
          <w:color w:val="222222"/>
          <w:spacing w:val="4"/>
          <w:sz w:val="32"/>
          <w:szCs w:val="32"/>
          <w:shd w:val="clear" w:fill="FFFFFF"/>
        </w:rPr>
        <w:t>邮箱：</w:t>
      </w:r>
      <w:r>
        <w:rPr>
          <w:rFonts w:hint="eastAsia" w:ascii="仿宋_GB2312" w:hAnsi="仿宋_GB2312" w:eastAsia="仿宋_GB2312" w:cs="仿宋_GB2312"/>
          <w:i w:val="0"/>
          <w:iCs w:val="0"/>
          <w:caps w:val="0"/>
          <w:color w:val="222222"/>
          <w:spacing w:val="4"/>
          <w:sz w:val="32"/>
          <w:szCs w:val="32"/>
          <w:shd w:val="clear" w:fill="FFFFFF"/>
          <w:lang w:val="en-US" w:eastAsia="zh-CN"/>
        </w:rPr>
        <w:t>baimy</w:t>
      </w:r>
      <w:r>
        <w:rPr>
          <w:rStyle w:val="7"/>
          <w:rFonts w:hint="eastAsia" w:ascii="仿宋_GB2312" w:hAnsi="仿宋_GB2312" w:eastAsia="仿宋_GB2312" w:cs="仿宋_GB2312"/>
          <w:i w:val="0"/>
          <w:iCs w:val="0"/>
          <w:caps w:val="0"/>
          <w:color w:val="3D5E9F"/>
          <w:spacing w:val="4"/>
          <w:sz w:val="32"/>
          <w:szCs w:val="32"/>
          <w:shd w:val="clear" w:fill="FFFFFF"/>
        </w:rPr>
        <w:t>@</w:t>
      </w:r>
      <w:r>
        <w:rPr>
          <w:rStyle w:val="7"/>
          <w:rFonts w:hint="eastAsia" w:ascii="仿宋_GB2312" w:hAnsi="仿宋_GB2312" w:eastAsia="仿宋_GB2312" w:cs="仿宋_GB2312"/>
          <w:i w:val="0"/>
          <w:iCs w:val="0"/>
          <w:caps w:val="0"/>
          <w:color w:val="3D5E9F"/>
          <w:spacing w:val="4"/>
          <w:sz w:val="32"/>
          <w:szCs w:val="32"/>
          <w:shd w:val="clear" w:fill="FFFFFF"/>
          <w:lang w:val="en-US" w:eastAsia="zh-CN"/>
        </w:rPr>
        <w:t>gsotc</w:t>
      </w:r>
      <w:r>
        <w:rPr>
          <w:rStyle w:val="7"/>
          <w:rFonts w:hint="eastAsia" w:ascii="仿宋_GB2312" w:hAnsi="仿宋_GB2312" w:eastAsia="仿宋_GB2312" w:cs="仿宋_GB2312"/>
          <w:i w:val="0"/>
          <w:iCs w:val="0"/>
          <w:caps w:val="0"/>
          <w:color w:val="3D5E9F"/>
          <w:spacing w:val="4"/>
          <w:sz w:val="32"/>
          <w:szCs w:val="32"/>
          <w:shd w:val="clear" w:fill="FFFFFF"/>
        </w:rPr>
        <w:t>.com</w:t>
      </w:r>
      <w:r>
        <w:rPr>
          <w:rStyle w:val="7"/>
          <w:rFonts w:hint="eastAsia" w:ascii="仿宋_GB2312" w:hAnsi="仿宋_GB2312" w:eastAsia="仿宋_GB2312" w:cs="仿宋_GB2312"/>
          <w:i w:val="0"/>
          <w:iCs w:val="0"/>
          <w:caps w:val="0"/>
          <w:color w:val="3D5E9F"/>
          <w:spacing w:val="4"/>
          <w:sz w:val="32"/>
          <w:szCs w:val="32"/>
          <w:shd w:val="clear" w:fill="FFFFFF"/>
          <w:lang w:val="en-US" w:eastAsia="zh-CN"/>
        </w:rPr>
        <w:t>.cn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659" w:firstLineChars="200"/>
        <w:jc w:val="both"/>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i w:val="0"/>
          <w:iCs w:val="0"/>
          <w:caps w:val="0"/>
          <w:color w:val="222222"/>
          <w:spacing w:val="4"/>
          <w:sz w:val="32"/>
          <w:szCs w:val="32"/>
          <w:shd w:val="clear" w:fill="FFFFFF"/>
        </w:rPr>
        <w:t>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56"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22222"/>
          <w:spacing w:val="4"/>
          <w:sz w:val="32"/>
          <w:szCs w:val="32"/>
          <w:shd w:val="clear" w:fill="FFFFFF"/>
        </w:rPr>
        <w:t>1.课程表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56"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22222"/>
          <w:spacing w:val="4"/>
          <w:sz w:val="32"/>
          <w:szCs w:val="32"/>
          <w:shd w:val="clear" w:fill="FFFFFF"/>
        </w:rPr>
        <w:t>2.报名回执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22222"/>
          <w:spacing w:val="4"/>
          <w:sz w:val="32"/>
          <w:szCs w:val="32"/>
          <w:shd w:val="clear" w:fill="FFFFFF"/>
          <w:lang w:val="en-US" w:eastAsia="zh-CN"/>
        </w:rPr>
        <w:t>甘肃</w:t>
      </w:r>
      <w:r>
        <w:rPr>
          <w:rFonts w:hint="eastAsia" w:ascii="仿宋_GB2312" w:hAnsi="仿宋_GB2312" w:eastAsia="仿宋_GB2312" w:cs="仿宋_GB2312"/>
          <w:i w:val="0"/>
          <w:iCs w:val="0"/>
          <w:caps w:val="0"/>
          <w:color w:val="222222"/>
          <w:spacing w:val="4"/>
          <w:sz w:val="32"/>
          <w:szCs w:val="32"/>
          <w:shd w:val="clear" w:fill="FFFFFF"/>
        </w:rPr>
        <w:t>股权交易中心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22222"/>
          <w:spacing w:val="4"/>
          <w:sz w:val="32"/>
          <w:szCs w:val="32"/>
          <w:shd w:val="clear" w:fill="FFFFFF"/>
        </w:rPr>
        <w:t>2022年1</w:t>
      </w:r>
      <w:r>
        <w:rPr>
          <w:rFonts w:hint="eastAsia" w:ascii="仿宋_GB2312" w:hAnsi="仿宋_GB2312" w:eastAsia="仿宋_GB2312" w:cs="仿宋_GB2312"/>
          <w:i w:val="0"/>
          <w:iCs w:val="0"/>
          <w:caps w:val="0"/>
          <w:color w:val="222222"/>
          <w:spacing w:val="4"/>
          <w:sz w:val="32"/>
          <w:szCs w:val="32"/>
          <w:shd w:val="clear" w:fill="FFFFFF"/>
          <w:lang w:val="en-US" w:eastAsia="zh-CN"/>
        </w:rPr>
        <w:t>1</w:t>
      </w:r>
      <w:r>
        <w:rPr>
          <w:rFonts w:hint="eastAsia" w:ascii="仿宋_GB2312" w:hAnsi="仿宋_GB2312" w:eastAsia="仿宋_GB2312" w:cs="仿宋_GB2312"/>
          <w:i w:val="0"/>
          <w:iCs w:val="0"/>
          <w:caps w:val="0"/>
          <w:color w:val="222222"/>
          <w:spacing w:val="4"/>
          <w:sz w:val="32"/>
          <w:szCs w:val="32"/>
          <w:shd w:val="clear" w:fill="FFFFFF"/>
        </w:rPr>
        <w:t>月</w:t>
      </w:r>
      <w:r>
        <w:rPr>
          <w:rFonts w:hint="eastAsia" w:ascii="仿宋_GB2312" w:hAnsi="仿宋_GB2312" w:eastAsia="仿宋_GB2312" w:cs="仿宋_GB2312"/>
          <w:i w:val="0"/>
          <w:iCs w:val="0"/>
          <w:caps w:val="0"/>
          <w:color w:val="222222"/>
          <w:spacing w:val="4"/>
          <w:sz w:val="32"/>
          <w:szCs w:val="32"/>
          <w:shd w:val="clear" w:fill="FFFFFF"/>
          <w:lang w:val="en-US" w:eastAsia="zh-CN"/>
        </w:rPr>
        <w:t>14</w:t>
      </w:r>
      <w:r>
        <w:rPr>
          <w:rFonts w:hint="eastAsia" w:ascii="仿宋_GB2312" w:hAnsi="仿宋_GB2312" w:eastAsia="仿宋_GB2312" w:cs="仿宋_GB2312"/>
          <w:i w:val="0"/>
          <w:iCs w:val="0"/>
          <w:caps w:val="0"/>
          <w:color w:val="222222"/>
          <w:spacing w:val="4"/>
          <w:sz w:val="32"/>
          <w:szCs w:val="32"/>
          <w:shd w:val="clear" w:fill="FFFFFF"/>
        </w:rPr>
        <w:t>日</w:t>
      </w:r>
      <w:bookmarkStart w:id="0" w:name="_GoBack"/>
      <w:bookmarkEnd w:id="0"/>
    </w:p>
    <w:p>
      <w:pPr>
        <w:keepNext w:val="0"/>
        <w:keepLines w:val="0"/>
        <w:widowControl/>
        <w:suppressLineNumbers w:val="0"/>
        <w:spacing w:before="0" w:beforeAutospacing="0" w:after="0" w:afterAutospacing="0"/>
        <w:ind w:left="0" w:right="0"/>
        <w:jc w:val="left"/>
      </w:pPr>
    </w:p>
    <w:p>
      <w:pPr>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p>
    <w:p>
      <w:pPr>
        <w:spacing w:line="56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课程表</w:t>
      </w:r>
    </w:p>
    <w:tbl>
      <w:tblPr>
        <w:tblStyle w:val="4"/>
        <w:tblpPr w:leftFromText="180" w:rightFromText="180" w:vertAnchor="text" w:horzAnchor="page" w:tblpXSpec="center" w:tblpY="434"/>
        <w:tblOverlap w:val="never"/>
        <w:tblW w:w="543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3898"/>
        <w:gridCol w:w="3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5000" w:type="pct"/>
            <w:gridSpan w:val="3"/>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筑基篇课程安排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237" w:type="pct"/>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课程模块</w:t>
            </w:r>
          </w:p>
        </w:tc>
        <w:tc>
          <w:tcPr>
            <w:tcW w:w="2105" w:type="pct"/>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课程名称</w:t>
            </w:r>
          </w:p>
        </w:tc>
        <w:tc>
          <w:tcPr>
            <w:tcW w:w="1657" w:type="pct"/>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授课老师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2" w:hRule="atLeast"/>
          <w:jc w:val="center"/>
        </w:trPr>
        <w:tc>
          <w:tcPr>
            <w:tcW w:w="1237" w:type="pct"/>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资本市场介绍</w:t>
            </w:r>
          </w:p>
        </w:tc>
        <w:tc>
          <w:tcPr>
            <w:tcW w:w="2105" w:type="pct"/>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深市多层次资本市场</w:t>
            </w:r>
          </w:p>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与创业板注册制改革</w:t>
            </w:r>
          </w:p>
        </w:tc>
        <w:tc>
          <w:tcPr>
            <w:tcW w:w="1657" w:type="pct"/>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深交所市场发展部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1237" w:type="pct"/>
            <w:vMerge w:val="restart"/>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商业模式与</w:t>
            </w:r>
          </w:p>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尽职调查</w:t>
            </w:r>
          </w:p>
        </w:tc>
        <w:tc>
          <w:tcPr>
            <w:tcW w:w="2105" w:type="pct"/>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商业模式与上市评估</w:t>
            </w:r>
          </w:p>
        </w:tc>
        <w:tc>
          <w:tcPr>
            <w:tcW w:w="1657" w:type="pct"/>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华泰联合证券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1237" w:type="pct"/>
            <w:vMerge w:val="continue"/>
            <w:vAlign w:val="center"/>
          </w:tcPr>
          <w:p>
            <w:pPr>
              <w:spacing w:line="560" w:lineRule="exact"/>
              <w:jc w:val="center"/>
              <w:rPr>
                <w:rFonts w:hint="eastAsia" w:ascii="仿宋_GB2312" w:hAnsi="仿宋_GB2312" w:eastAsia="仿宋_GB2312" w:cs="仿宋_GB2312"/>
                <w:sz w:val="28"/>
                <w:szCs w:val="28"/>
              </w:rPr>
            </w:pPr>
          </w:p>
        </w:tc>
        <w:tc>
          <w:tcPr>
            <w:tcW w:w="2105" w:type="pct"/>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商业模式中的财务逻辑</w:t>
            </w:r>
          </w:p>
        </w:tc>
        <w:tc>
          <w:tcPr>
            <w:tcW w:w="1657" w:type="pct"/>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德勤会所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jc w:val="center"/>
        </w:trPr>
        <w:tc>
          <w:tcPr>
            <w:tcW w:w="1237" w:type="pct"/>
            <w:vMerge w:val="continue"/>
            <w:vAlign w:val="center"/>
          </w:tcPr>
          <w:p>
            <w:pPr>
              <w:spacing w:line="560" w:lineRule="exact"/>
              <w:jc w:val="center"/>
              <w:rPr>
                <w:rFonts w:hint="eastAsia" w:ascii="仿宋_GB2312" w:hAnsi="仿宋_GB2312" w:eastAsia="仿宋_GB2312" w:cs="仿宋_GB2312"/>
                <w:sz w:val="28"/>
                <w:szCs w:val="28"/>
              </w:rPr>
            </w:pPr>
          </w:p>
        </w:tc>
        <w:tc>
          <w:tcPr>
            <w:tcW w:w="2105" w:type="pct"/>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拟IPO企业法律尽调：程序与重点问题</w:t>
            </w:r>
          </w:p>
        </w:tc>
        <w:tc>
          <w:tcPr>
            <w:tcW w:w="1657" w:type="pct"/>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君合律所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237" w:type="pct"/>
            <w:vMerge w:val="continue"/>
            <w:vAlign w:val="center"/>
          </w:tcPr>
          <w:p>
            <w:pPr>
              <w:spacing w:line="560" w:lineRule="exact"/>
              <w:jc w:val="center"/>
              <w:rPr>
                <w:rFonts w:hint="eastAsia" w:ascii="仿宋_GB2312" w:hAnsi="仿宋_GB2312" w:eastAsia="仿宋_GB2312" w:cs="仿宋_GB2312"/>
                <w:sz w:val="28"/>
                <w:szCs w:val="28"/>
              </w:rPr>
            </w:pPr>
          </w:p>
        </w:tc>
        <w:tc>
          <w:tcPr>
            <w:tcW w:w="2105" w:type="pct"/>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IPO财务尽职调查</w:t>
            </w:r>
          </w:p>
        </w:tc>
        <w:tc>
          <w:tcPr>
            <w:tcW w:w="1657" w:type="pct"/>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毕马威会所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1237" w:type="pct"/>
            <w:vMerge w:val="restart"/>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股权结构</w:t>
            </w:r>
          </w:p>
        </w:tc>
        <w:tc>
          <w:tcPr>
            <w:tcW w:w="2105" w:type="pct"/>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公司股权结构的设计与搭建</w:t>
            </w:r>
          </w:p>
        </w:tc>
        <w:tc>
          <w:tcPr>
            <w:tcW w:w="1657" w:type="pct"/>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方达律所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237" w:type="pct"/>
            <w:vMerge w:val="continue"/>
            <w:vAlign w:val="center"/>
          </w:tcPr>
          <w:p>
            <w:pPr>
              <w:spacing w:line="560" w:lineRule="exact"/>
              <w:jc w:val="center"/>
              <w:rPr>
                <w:rFonts w:hint="eastAsia" w:ascii="仿宋_GB2312" w:hAnsi="仿宋_GB2312" w:eastAsia="仿宋_GB2312" w:cs="仿宋_GB2312"/>
                <w:sz w:val="28"/>
                <w:szCs w:val="28"/>
              </w:rPr>
            </w:pPr>
          </w:p>
        </w:tc>
        <w:tc>
          <w:tcPr>
            <w:tcW w:w="2105" w:type="pct"/>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引入投资人的财务考虑</w:t>
            </w:r>
          </w:p>
        </w:tc>
        <w:tc>
          <w:tcPr>
            <w:tcW w:w="1657" w:type="pct"/>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德勤会所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237" w:type="pct"/>
            <w:vMerge w:val="continue"/>
            <w:vAlign w:val="center"/>
          </w:tcPr>
          <w:p>
            <w:pPr>
              <w:spacing w:line="560" w:lineRule="exact"/>
              <w:jc w:val="center"/>
              <w:rPr>
                <w:rFonts w:hint="eastAsia" w:ascii="仿宋_GB2312" w:hAnsi="仿宋_GB2312" w:eastAsia="仿宋_GB2312" w:cs="仿宋_GB2312"/>
                <w:sz w:val="28"/>
                <w:szCs w:val="28"/>
              </w:rPr>
            </w:pPr>
          </w:p>
        </w:tc>
        <w:tc>
          <w:tcPr>
            <w:tcW w:w="2105" w:type="pct"/>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公司股权融资中的法律关注点</w:t>
            </w:r>
          </w:p>
        </w:tc>
        <w:tc>
          <w:tcPr>
            <w:tcW w:w="1657" w:type="pct"/>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环球律所</w:t>
            </w:r>
          </w:p>
        </w:tc>
      </w:tr>
    </w:tbl>
    <w:p>
      <w:pPr>
        <w:spacing w:line="560" w:lineRule="exact"/>
      </w:pPr>
    </w:p>
    <w:p>
      <w:pPr>
        <w:keepNext w:val="0"/>
        <w:keepLines w:val="0"/>
        <w:widowControl/>
        <w:suppressLineNumbers w:val="0"/>
        <w:spacing w:before="0" w:beforeAutospacing="0" w:after="0" w:afterAutospacing="0"/>
        <w:ind w:left="0" w:right="0"/>
        <w:jc w:val="left"/>
      </w:pPr>
    </w:p>
    <w:p/>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rPr>
          <w:rFonts w:hint="eastAsia"/>
          <w:lang w:val="en-US" w:eastAsia="zh-CN"/>
        </w:rPr>
      </w:pPr>
    </w:p>
    <w:p>
      <w:pPr>
        <w:jc w:val="cente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报名回执</w:t>
      </w:r>
    </w:p>
    <w:tbl>
      <w:tblPr>
        <w:tblStyle w:val="5"/>
        <w:tblW w:w="10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
        <w:gridCol w:w="1642"/>
        <w:gridCol w:w="1830"/>
        <w:gridCol w:w="2528"/>
        <w:gridCol w:w="1672"/>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92"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序号</w:t>
            </w:r>
          </w:p>
        </w:tc>
        <w:tc>
          <w:tcPr>
            <w:tcW w:w="1642"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姓名</w:t>
            </w:r>
          </w:p>
        </w:tc>
        <w:tc>
          <w:tcPr>
            <w:tcW w:w="1830"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所属企业</w:t>
            </w:r>
          </w:p>
        </w:tc>
        <w:tc>
          <w:tcPr>
            <w:tcW w:w="2528"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企业资质（专精特新小巨人、省级专精特新）</w:t>
            </w:r>
          </w:p>
        </w:tc>
        <w:tc>
          <w:tcPr>
            <w:tcW w:w="1672"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职务</w:t>
            </w:r>
          </w:p>
        </w:tc>
        <w:tc>
          <w:tcPr>
            <w:tcW w:w="1965"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92" w:type="dxa"/>
            <w:vAlign w:val="center"/>
          </w:tcPr>
          <w:p>
            <w:pPr>
              <w:jc w:val="center"/>
              <w:rPr>
                <w:rFonts w:hint="eastAsia" w:ascii="仿宋_GB2312" w:hAnsi="仿宋_GB2312" w:eastAsia="仿宋_GB2312" w:cs="仿宋_GB2312"/>
                <w:sz w:val="28"/>
                <w:szCs w:val="28"/>
                <w:vertAlign w:val="baseline"/>
                <w:lang w:val="en-US" w:eastAsia="zh-CN"/>
              </w:rPr>
            </w:pPr>
          </w:p>
        </w:tc>
        <w:tc>
          <w:tcPr>
            <w:tcW w:w="1642" w:type="dxa"/>
            <w:vAlign w:val="center"/>
          </w:tcPr>
          <w:p>
            <w:pPr>
              <w:jc w:val="center"/>
              <w:rPr>
                <w:rFonts w:hint="eastAsia" w:ascii="仿宋_GB2312" w:hAnsi="仿宋_GB2312" w:eastAsia="仿宋_GB2312" w:cs="仿宋_GB2312"/>
                <w:sz w:val="28"/>
                <w:szCs w:val="28"/>
                <w:vertAlign w:val="baseline"/>
                <w:lang w:val="en-US" w:eastAsia="zh-CN"/>
              </w:rPr>
            </w:pPr>
          </w:p>
        </w:tc>
        <w:tc>
          <w:tcPr>
            <w:tcW w:w="1830" w:type="dxa"/>
            <w:vAlign w:val="center"/>
          </w:tcPr>
          <w:p>
            <w:pPr>
              <w:jc w:val="center"/>
              <w:rPr>
                <w:rFonts w:hint="eastAsia" w:ascii="仿宋_GB2312" w:hAnsi="仿宋_GB2312" w:eastAsia="仿宋_GB2312" w:cs="仿宋_GB2312"/>
                <w:sz w:val="28"/>
                <w:szCs w:val="28"/>
                <w:vertAlign w:val="baseline"/>
                <w:lang w:val="en-US" w:eastAsia="zh-CN"/>
              </w:rPr>
            </w:pPr>
          </w:p>
        </w:tc>
        <w:tc>
          <w:tcPr>
            <w:tcW w:w="2528" w:type="dxa"/>
            <w:vAlign w:val="center"/>
          </w:tcPr>
          <w:p>
            <w:pPr>
              <w:jc w:val="center"/>
              <w:rPr>
                <w:rFonts w:hint="eastAsia" w:ascii="仿宋_GB2312" w:hAnsi="仿宋_GB2312" w:eastAsia="仿宋_GB2312" w:cs="仿宋_GB2312"/>
                <w:sz w:val="28"/>
                <w:szCs w:val="28"/>
                <w:vertAlign w:val="baseline"/>
                <w:lang w:val="en-US" w:eastAsia="zh-CN"/>
              </w:rPr>
            </w:pPr>
          </w:p>
        </w:tc>
        <w:tc>
          <w:tcPr>
            <w:tcW w:w="1672" w:type="dxa"/>
            <w:vAlign w:val="center"/>
          </w:tcPr>
          <w:p>
            <w:pPr>
              <w:jc w:val="center"/>
              <w:rPr>
                <w:rFonts w:hint="eastAsia" w:ascii="仿宋_GB2312" w:hAnsi="仿宋_GB2312" w:eastAsia="仿宋_GB2312" w:cs="仿宋_GB2312"/>
                <w:sz w:val="28"/>
                <w:szCs w:val="28"/>
                <w:vertAlign w:val="baseline"/>
                <w:lang w:val="en-US" w:eastAsia="zh-CN"/>
              </w:rPr>
            </w:pPr>
          </w:p>
        </w:tc>
        <w:tc>
          <w:tcPr>
            <w:tcW w:w="1965" w:type="dxa"/>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92" w:type="dxa"/>
            <w:vAlign w:val="center"/>
          </w:tcPr>
          <w:p>
            <w:pPr>
              <w:jc w:val="center"/>
              <w:rPr>
                <w:rFonts w:hint="eastAsia" w:ascii="仿宋_GB2312" w:hAnsi="仿宋_GB2312" w:eastAsia="仿宋_GB2312" w:cs="仿宋_GB2312"/>
                <w:sz w:val="28"/>
                <w:szCs w:val="28"/>
                <w:vertAlign w:val="baseline"/>
                <w:lang w:val="en-US" w:eastAsia="zh-CN"/>
              </w:rPr>
            </w:pPr>
          </w:p>
        </w:tc>
        <w:tc>
          <w:tcPr>
            <w:tcW w:w="1642" w:type="dxa"/>
            <w:vAlign w:val="center"/>
          </w:tcPr>
          <w:p>
            <w:pPr>
              <w:jc w:val="center"/>
              <w:rPr>
                <w:rFonts w:hint="eastAsia" w:ascii="仿宋_GB2312" w:hAnsi="仿宋_GB2312" w:eastAsia="仿宋_GB2312" w:cs="仿宋_GB2312"/>
                <w:sz w:val="28"/>
                <w:szCs w:val="28"/>
                <w:vertAlign w:val="baseline"/>
                <w:lang w:val="en-US" w:eastAsia="zh-CN"/>
              </w:rPr>
            </w:pPr>
          </w:p>
        </w:tc>
        <w:tc>
          <w:tcPr>
            <w:tcW w:w="1830" w:type="dxa"/>
            <w:vAlign w:val="center"/>
          </w:tcPr>
          <w:p>
            <w:pPr>
              <w:jc w:val="center"/>
              <w:rPr>
                <w:rFonts w:hint="eastAsia" w:ascii="仿宋_GB2312" w:hAnsi="仿宋_GB2312" w:eastAsia="仿宋_GB2312" w:cs="仿宋_GB2312"/>
                <w:sz w:val="28"/>
                <w:szCs w:val="28"/>
                <w:vertAlign w:val="baseline"/>
                <w:lang w:val="en-US" w:eastAsia="zh-CN"/>
              </w:rPr>
            </w:pPr>
          </w:p>
        </w:tc>
        <w:tc>
          <w:tcPr>
            <w:tcW w:w="2528" w:type="dxa"/>
            <w:vAlign w:val="center"/>
          </w:tcPr>
          <w:p>
            <w:pPr>
              <w:jc w:val="center"/>
              <w:rPr>
                <w:rFonts w:hint="eastAsia" w:ascii="仿宋_GB2312" w:hAnsi="仿宋_GB2312" w:eastAsia="仿宋_GB2312" w:cs="仿宋_GB2312"/>
                <w:sz w:val="28"/>
                <w:szCs w:val="28"/>
                <w:vertAlign w:val="baseline"/>
                <w:lang w:val="en-US" w:eastAsia="zh-CN"/>
              </w:rPr>
            </w:pPr>
          </w:p>
        </w:tc>
        <w:tc>
          <w:tcPr>
            <w:tcW w:w="1672" w:type="dxa"/>
            <w:vAlign w:val="center"/>
          </w:tcPr>
          <w:p>
            <w:pPr>
              <w:jc w:val="center"/>
              <w:rPr>
                <w:rFonts w:hint="eastAsia" w:ascii="仿宋_GB2312" w:hAnsi="仿宋_GB2312" w:eastAsia="仿宋_GB2312" w:cs="仿宋_GB2312"/>
                <w:sz w:val="28"/>
                <w:szCs w:val="28"/>
                <w:vertAlign w:val="baseline"/>
                <w:lang w:val="en-US" w:eastAsia="zh-CN"/>
              </w:rPr>
            </w:pPr>
          </w:p>
        </w:tc>
        <w:tc>
          <w:tcPr>
            <w:tcW w:w="1965" w:type="dxa"/>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92" w:type="dxa"/>
            <w:vAlign w:val="center"/>
          </w:tcPr>
          <w:p>
            <w:pPr>
              <w:jc w:val="center"/>
              <w:rPr>
                <w:rFonts w:hint="eastAsia" w:ascii="仿宋_GB2312" w:hAnsi="仿宋_GB2312" w:eastAsia="仿宋_GB2312" w:cs="仿宋_GB2312"/>
                <w:sz w:val="28"/>
                <w:szCs w:val="28"/>
                <w:vertAlign w:val="baseline"/>
                <w:lang w:val="en-US" w:eastAsia="zh-CN"/>
              </w:rPr>
            </w:pPr>
          </w:p>
        </w:tc>
        <w:tc>
          <w:tcPr>
            <w:tcW w:w="1642" w:type="dxa"/>
            <w:vAlign w:val="center"/>
          </w:tcPr>
          <w:p>
            <w:pPr>
              <w:jc w:val="center"/>
              <w:rPr>
                <w:rFonts w:hint="eastAsia" w:ascii="仿宋_GB2312" w:hAnsi="仿宋_GB2312" w:eastAsia="仿宋_GB2312" w:cs="仿宋_GB2312"/>
                <w:sz w:val="28"/>
                <w:szCs w:val="28"/>
                <w:vertAlign w:val="baseline"/>
                <w:lang w:val="en-US" w:eastAsia="zh-CN"/>
              </w:rPr>
            </w:pPr>
          </w:p>
        </w:tc>
        <w:tc>
          <w:tcPr>
            <w:tcW w:w="1830" w:type="dxa"/>
            <w:vAlign w:val="center"/>
          </w:tcPr>
          <w:p>
            <w:pPr>
              <w:jc w:val="center"/>
              <w:rPr>
                <w:rFonts w:hint="eastAsia" w:ascii="仿宋_GB2312" w:hAnsi="仿宋_GB2312" w:eastAsia="仿宋_GB2312" w:cs="仿宋_GB2312"/>
                <w:sz w:val="28"/>
                <w:szCs w:val="28"/>
                <w:vertAlign w:val="baseline"/>
                <w:lang w:val="en-US" w:eastAsia="zh-CN"/>
              </w:rPr>
            </w:pPr>
          </w:p>
        </w:tc>
        <w:tc>
          <w:tcPr>
            <w:tcW w:w="2528" w:type="dxa"/>
            <w:vAlign w:val="center"/>
          </w:tcPr>
          <w:p>
            <w:pPr>
              <w:jc w:val="center"/>
              <w:rPr>
                <w:rFonts w:hint="eastAsia" w:ascii="仿宋_GB2312" w:hAnsi="仿宋_GB2312" w:eastAsia="仿宋_GB2312" w:cs="仿宋_GB2312"/>
                <w:sz w:val="28"/>
                <w:szCs w:val="28"/>
                <w:vertAlign w:val="baseline"/>
                <w:lang w:val="en-US" w:eastAsia="zh-CN"/>
              </w:rPr>
            </w:pPr>
          </w:p>
        </w:tc>
        <w:tc>
          <w:tcPr>
            <w:tcW w:w="1672" w:type="dxa"/>
            <w:vAlign w:val="center"/>
          </w:tcPr>
          <w:p>
            <w:pPr>
              <w:jc w:val="center"/>
              <w:rPr>
                <w:rFonts w:hint="eastAsia" w:ascii="仿宋_GB2312" w:hAnsi="仿宋_GB2312" w:eastAsia="仿宋_GB2312" w:cs="仿宋_GB2312"/>
                <w:sz w:val="28"/>
                <w:szCs w:val="28"/>
                <w:vertAlign w:val="baseline"/>
                <w:lang w:val="en-US" w:eastAsia="zh-CN"/>
              </w:rPr>
            </w:pPr>
          </w:p>
        </w:tc>
        <w:tc>
          <w:tcPr>
            <w:tcW w:w="1965" w:type="dxa"/>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92" w:type="dxa"/>
            <w:vAlign w:val="center"/>
          </w:tcPr>
          <w:p>
            <w:pPr>
              <w:jc w:val="center"/>
              <w:rPr>
                <w:rFonts w:hint="eastAsia" w:ascii="仿宋_GB2312" w:hAnsi="仿宋_GB2312" w:eastAsia="仿宋_GB2312" w:cs="仿宋_GB2312"/>
                <w:sz w:val="28"/>
                <w:szCs w:val="28"/>
                <w:vertAlign w:val="baseline"/>
                <w:lang w:val="en-US" w:eastAsia="zh-CN"/>
              </w:rPr>
            </w:pPr>
          </w:p>
        </w:tc>
        <w:tc>
          <w:tcPr>
            <w:tcW w:w="1642" w:type="dxa"/>
            <w:vAlign w:val="center"/>
          </w:tcPr>
          <w:p>
            <w:pPr>
              <w:jc w:val="center"/>
              <w:rPr>
                <w:rFonts w:hint="eastAsia" w:ascii="仿宋_GB2312" w:hAnsi="仿宋_GB2312" w:eastAsia="仿宋_GB2312" w:cs="仿宋_GB2312"/>
                <w:sz w:val="28"/>
                <w:szCs w:val="28"/>
                <w:vertAlign w:val="baseline"/>
                <w:lang w:val="en-US" w:eastAsia="zh-CN"/>
              </w:rPr>
            </w:pPr>
          </w:p>
        </w:tc>
        <w:tc>
          <w:tcPr>
            <w:tcW w:w="1830" w:type="dxa"/>
            <w:vAlign w:val="center"/>
          </w:tcPr>
          <w:p>
            <w:pPr>
              <w:jc w:val="center"/>
              <w:rPr>
                <w:rFonts w:hint="eastAsia" w:ascii="仿宋_GB2312" w:hAnsi="仿宋_GB2312" w:eastAsia="仿宋_GB2312" w:cs="仿宋_GB2312"/>
                <w:sz w:val="28"/>
                <w:szCs w:val="28"/>
                <w:vertAlign w:val="baseline"/>
                <w:lang w:val="en-US" w:eastAsia="zh-CN"/>
              </w:rPr>
            </w:pPr>
          </w:p>
        </w:tc>
        <w:tc>
          <w:tcPr>
            <w:tcW w:w="2528" w:type="dxa"/>
            <w:vAlign w:val="center"/>
          </w:tcPr>
          <w:p>
            <w:pPr>
              <w:jc w:val="center"/>
              <w:rPr>
                <w:rFonts w:hint="eastAsia" w:ascii="仿宋_GB2312" w:hAnsi="仿宋_GB2312" w:eastAsia="仿宋_GB2312" w:cs="仿宋_GB2312"/>
                <w:sz w:val="28"/>
                <w:szCs w:val="28"/>
                <w:vertAlign w:val="baseline"/>
                <w:lang w:val="en-US" w:eastAsia="zh-CN"/>
              </w:rPr>
            </w:pPr>
          </w:p>
        </w:tc>
        <w:tc>
          <w:tcPr>
            <w:tcW w:w="1672" w:type="dxa"/>
            <w:vAlign w:val="center"/>
          </w:tcPr>
          <w:p>
            <w:pPr>
              <w:jc w:val="center"/>
              <w:rPr>
                <w:rFonts w:hint="eastAsia" w:ascii="仿宋_GB2312" w:hAnsi="仿宋_GB2312" w:eastAsia="仿宋_GB2312" w:cs="仿宋_GB2312"/>
                <w:sz w:val="28"/>
                <w:szCs w:val="28"/>
                <w:vertAlign w:val="baseline"/>
                <w:lang w:val="en-US" w:eastAsia="zh-CN"/>
              </w:rPr>
            </w:pPr>
          </w:p>
        </w:tc>
        <w:tc>
          <w:tcPr>
            <w:tcW w:w="1965" w:type="dxa"/>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92" w:type="dxa"/>
            <w:vAlign w:val="center"/>
          </w:tcPr>
          <w:p>
            <w:pPr>
              <w:jc w:val="center"/>
              <w:rPr>
                <w:rFonts w:hint="eastAsia" w:ascii="仿宋_GB2312" w:hAnsi="仿宋_GB2312" w:eastAsia="仿宋_GB2312" w:cs="仿宋_GB2312"/>
                <w:sz w:val="28"/>
                <w:szCs w:val="28"/>
                <w:vertAlign w:val="baseline"/>
                <w:lang w:val="en-US" w:eastAsia="zh-CN"/>
              </w:rPr>
            </w:pPr>
          </w:p>
        </w:tc>
        <w:tc>
          <w:tcPr>
            <w:tcW w:w="1642" w:type="dxa"/>
            <w:vAlign w:val="center"/>
          </w:tcPr>
          <w:p>
            <w:pPr>
              <w:jc w:val="center"/>
              <w:rPr>
                <w:rFonts w:hint="eastAsia" w:ascii="仿宋_GB2312" w:hAnsi="仿宋_GB2312" w:eastAsia="仿宋_GB2312" w:cs="仿宋_GB2312"/>
                <w:sz w:val="28"/>
                <w:szCs w:val="28"/>
                <w:vertAlign w:val="baseline"/>
                <w:lang w:val="en-US" w:eastAsia="zh-CN"/>
              </w:rPr>
            </w:pPr>
          </w:p>
        </w:tc>
        <w:tc>
          <w:tcPr>
            <w:tcW w:w="1830" w:type="dxa"/>
            <w:vAlign w:val="center"/>
          </w:tcPr>
          <w:p>
            <w:pPr>
              <w:jc w:val="center"/>
              <w:rPr>
                <w:rFonts w:hint="eastAsia" w:ascii="仿宋_GB2312" w:hAnsi="仿宋_GB2312" w:eastAsia="仿宋_GB2312" w:cs="仿宋_GB2312"/>
                <w:sz w:val="28"/>
                <w:szCs w:val="28"/>
                <w:vertAlign w:val="baseline"/>
                <w:lang w:val="en-US" w:eastAsia="zh-CN"/>
              </w:rPr>
            </w:pPr>
          </w:p>
        </w:tc>
        <w:tc>
          <w:tcPr>
            <w:tcW w:w="2528" w:type="dxa"/>
            <w:vAlign w:val="center"/>
          </w:tcPr>
          <w:p>
            <w:pPr>
              <w:jc w:val="center"/>
              <w:rPr>
                <w:rFonts w:hint="eastAsia" w:ascii="仿宋_GB2312" w:hAnsi="仿宋_GB2312" w:eastAsia="仿宋_GB2312" w:cs="仿宋_GB2312"/>
                <w:sz w:val="28"/>
                <w:szCs w:val="28"/>
                <w:vertAlign w:val="baseline"/>
                <w:lang w:val="en-US" w:eastAsia="zh-CN"/>
              </w:rPr>
            </w:pPr>
          </w:p>
        </w:tc>
        <w:tc>
          <w:tcPr>
            <w:tcW w:w="1672" w:type="dxa"/>
            <w:vAlign w:val="center"/>
          </w:tcPr>
          <w:p>
            <w:pPr>
              <w:jc w:val="center"/>
              <w:rPr>
                <w:rFonts w:hint="eastAsia" w:ascii="仿宋_GB2312" w:hAnsi="仿宋_GB2312" w:eastAsia="仿宋_GB2312" w:cs="仿宋_GB2312"/>
                <w:sz w:val="28"/>
                <w:szCs w:val="28"/>
                <w:vertAlign w:val="baseline"/>
                <w:lang w:val="en-US" w:eastAsia="zh-CN"/>
              </w:rPr>
            </w:pPr>
          </w:p>
        </w:tc>
        <w:tc>
          <w:tcPr>
            <w:tcW w:w="1965" w:type="dxa"/>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92" w:type="dxa"/>
            <w:vAlign w:val="center"/>
          </w:tcPr>
          <w:p>
            <w:pPr>
              <w:jc w:val="center"/>
              <w:rPr>
                <w:rFonts w:hint="eastAsia" w:ascii="仿宋_GB2312" w:hAnsi="仿宋_GB2312" w:eastAsia="仿宋_GB2312" w:cs="仿宋_GB2312"/>
                <w:sz w:val="28"/>
                <w:szCs w:val="28"/>
                <w:vertAlign w:val="baseline"/>
                <w:lang w:val="en-US" w:eastAsia="zh-CN"/>
              </w:rPr>
            </w:pPr>
          </w:p>
        </w:tc>
        <w:tc>
          <w:tcPr>
            <w:tcW w:w="1642" w:type="dxa"/>
            <w:vAlign w:val="center"/>
          </w:tcPr>
          <w:p>
            <w:pPr>
              <w:jc w:val="center"/>
              <w:rPr>
                <w:rFonts w:hint="eastAsia" w:ascii="仿宋_GB2312" w:hAnsi="仿宋_GB2312" w:eastAsia="仿宋_GB2312" w:cs="仿宋_GB2312"/>
                <w:sz w:val="28"/>
                <w:szCs w:val="28"/>
                <w:vertAlign w:val="baseline"/>
                <w:lang w:val="en-US" w:eastAsia="zh-CN"/>
              </w:rPr>
            </w:pPr>
          </w:p>
        </w:tc>
        <w:tc>
          <w:tcPr>
            <w:tcW w:w="1830" w:type="dxa"/>
            <w:vAlign w:val="center"/>
          </w:tcPr>
          <w:p>
            <w:pPr>
              <w:jc w:val="center"/>
              <w:rPr>
                <w:rFonts w:hint="eastAsia" w:ascii="仿宋_GB2312" w:hAnsi="仿宋_GB2312" w:eastAsia="仿宋_GB2312" w:cs="仿宋_GB2312"/>
                <w:sz w:val="28"/>
                <w:szCs w:val="28"/>
                <w:vertAlign w:val="baseline"/>
                <w:lang w:val="en-US" w:eastAsia="zh-CN"/>
              </w:rPr>
            </w:pPr>
          </w:p>
        </w:tc>
        <w:tc>
          <w:tcPr>
            <w:tcW w:w="2528" w:type="dxa"/>
            <w:vAlign w:val="center"/>
          </w:tcPr>
          <w:p>
            <w:pPr>
              <w:jc w:val="center"/>
              <w:rPr>
                <w:rFonts w:hint="eastAsia" w:ascii="仿宋_GB2312" w:hAnsi="仿宋_GB2312" w:eastAsia="仿宋_GB2312" w:cs="仿宋_GB2312"/>
                <w:sz w:val="28"/>
                <w:szCs w:val="28"/>
                <w:vertAlign w:val="baseline"/>
                <w:lang w:val="en-US" w:eastAsia="zh-CN"/>
              </w:rPr>
            </w:pPr>
          </w:p>
        </w:tc>
        <w:tc>
          <w:tcPr>
            <w:tcW w:w="1672" w:type="dxa"/>
            <w:vAlign w:val="center"/>
          </w:tcPr>
          <w:p>
            <w:pPr>
              <w:jc w:val="center"/>
              <w:rPr>
                <w:rFonts w:hint="eastAsia" w:ascii="仿宋_GB2312" w:hAnsi="仿宋_GB2312" w:eastAsia="仿宋_GB2312" w:cs="仿宋_GB2312"/>
                <w:sz w:val="28"/>
                <w:szCs w:val="28"/>
                <w:vertAlign w:val="baseline"/>
                <w:lang w:val="en-US" w:eastAsia="zh-CN"/>
              </w:rPr>
            </w:pPr>
          </w:p>
        </w:tc>
        <w:tc>
          <w:tcPr>
            <w:tcW w:w="1965" w:type="dxa"/>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92" w:type="dxa"/>
            <w:vAlign w:val="center"/>
          </w:tcPr>
          <w:p>
            <w:pPr>
              <w:jc w:val="center"/>
              <w:rPr>
                <w:rFonts w:hint="eastAsia" w:ascii="仿宋_GB2312" w:hAnsi="仿宋_GB2312" w:eastAsia="仿宋_GB2312" w:cs="仿宋_GB2312"/>
                <w:sz w:val="28"/>
                <w:szCs w:val="28"/>
                <w:vertAlign w:val="baseline"/>
                <w:lang w:val="en-US" w:eastAsia="zh-CN"/>
              </w:rPr>
            </w:pPr>
          </w:p>
        </w:tc>
        <w:tc>
          <w:tcPr>
            <w:tcW w:w="1642" w:type="dxa"/>
            <w:vAlign w:val="center"/>
          </w:tcPr>
          <w:p>
            <w:pPr>
              <w:jc w:val="center"/>
              <w:rPr>
                <w:rFonts w:hint="eastAsia" w:ascii="仿宋_GB2312" w:hAnsi="仿宋_GB2312" w:eastAsia="仿宋_GB2312" w:cs="仿宋_GB2312"/>
                <w:sz w:val="28"/>
                <w:szCs w:val="28"/>
                <w:vertAlign w:val="baseline"/>
                <w:lang w:val="en-US" w:eastAsia="zh-CN"/>
              </w:rPr>
            </w:pPr>
          </w:p>
        </w:tc>
        <w:tc>
          <w:tcPr>
            <w:tcW w:w="1830" w:type="dxa"/>
            <w:vAlign w:val="center"/>
          </w:tcPr>
          <w:p>
            <w:pPr>
              <w:jc w:val="center"/>
              <w:rPr>
                <w:rFonts w:hint="eastAsia" w:ascii="仿宋_GB2312" w:hAnsi="仿宋_GB2312" w:eastAsia="仿宋_GB2312" w:cs="仿宋_GB2312"/>
                <w:sz w:val="28"/>
                <w:szCs w:val="28"/>
                <w:vertAlign w:val="baseline"/>
                <w:lang w:val="en-US" w:eastAsia="zh-CN"/>
              </w:rPr>
            </w:pPr>
          </w:p>
        </w:tc>
        <w:tc>
          <w:tcPr>
            <w:tcW w:w="2528" w:type="dxa"/>
            <w:vAlign w:val="center"/>
          </w:tcPr>
          <w:p>
            <w:pPr>
              <w:jc w:val="center"/>
              <w:rPr>
                <w:rFonts w:hint="eastAsia" w:ascii="仿宋_GB2312" w:hAnsi="仿宋_GB2312" w:eastAsia="仿宋_GB2312" w:cs="仿宋_GB2312"/>
                <w:sz w:val="28"/>
                <w:szCs w:val="28"/>
                <w:vertAlign w:val="baseline"/>
                <w:lang w:val="en-US" w:eastAsia="zh-CN"/>
              </w:rPr>
            </w:pPr>
          </w:p>
        </w:tc>
        <w:tc>
          <w:tcPr>
            <w:tcW w:w="1672" w:type="dxa"/>
            <w:vAlign w:val="center"/>
          </w:tcPr>
          <w:p>
            <w:pPr>
              <w:jc w:val="center"/>
              <w:rPr>
                <w:rFonts w:hint="eastAsia" w:ascii="仿宋_GB2312" w:hAnsi="仿宋_GB2312" w:eastAsia="仿宋_GB2312" w:cs="仿宋_GB2312"/>
                <w:sz w:val="28"/>
                <w:szCs w:val="28"/>
                <w:vertAlign w:val="baseline"/>
                <w:lang w:val="en-US" w:eastAsia="zh-CN"/>
              </w:rPr>
            </w:pPr>
          </w:p>
        </w:tc>
        <w:tc>
          <w:tcPr>
            <w:tcW w:w="1965" w:type="dxa"/>
            <w:vAlign w:val="center"/>
          </w:tcPr>
          <w:p>
            <w:pPr>
              <w:jc w:val="center"/>
              <w:rPr>
                <w:rFonts w:hint="eastAsia" w:ascii="仿宋_GB2312" w:hAnsi="仿宋_GB2312" w:eastAsia="仿宋_GB2312" w:cs="仿宋_GB2312"/>
                <w:sz w:val="28"/>
                <w:szCs w:val="28"/>
                <w:vertAlign w:val="baseline"/>
                <w:lang w:val="en-US" w:eastAsia="zh-CN"/>
              </w:rPr>
            </w:pPr>
          </w:p>
        </w:tc>
      </w:tr>
    </w:tbl>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E6D96"/>
    <w:rsid w:val="01995BAA"/>
    <w:rsid w:val="0406477E"/>
    <w:rsid w:val="04CA7175"/>
    <w:rsid w:val="05C15080"/>
    <w:rsid w:val="06BA27B8"/>
    <w:rsid w:val="06F84D7D"/>
    <w:rsid w:val="07B567B5"/>
    <w:rsid w:val="08B814DA"/>
    <w:rsid w:val="0D811433"/>
    <w:rsid w:val="0F6159A2"/>
    <w:rsid w:val="0FA51139"/>
    <w:rsid w:val="0FB66E54"/>
    <w:rsid w:val="104C4DC9"/>
    <w:rsid w:val="1129062E"/>
    <w:rsid w:val="11C3015E"/>
    <w:rsid w:val="15701BB9"/>
    <w:rsid w:val="16A754B9"/>
    <w:rsid w:val="19020DC0"/>
    <w:rsid w:val="19332C6B"/>
    <w:rsid w:val="19AC77B8"/>
    <w:rsid w:val="19D96275"/>
    <w:rsid w:val="1BBA678A"/>
    <w:rsid w:val="2AE16756"/>
    <w:rsid w:val="308F4285"/>
    <w:rsid w:val="36C51A8B"/>
    <w:rsid w:val="375B525D"/>
    <w:rsid w:val="38FA4D0A"/>
    <w:rsid w:val="3AD53316"/>
    <w:rsid w:val="40F5681F"/>
    <w:rsid w:val="426C7B8A"/>
    <w:rsid w:val="43D07354"/>
    <w:rsid w:val="457F5E93"/>
    <w:rsid w:val="46F63434"/>
    <w:rsid w:val="49725893"/>
    <w:rsid w:val="4A9C5875"/>
    <w:rsid w:val="4D825639"/>
    <w:rsid w:val="4D8352B9"/>
    <w:rsid w:val="4E1835AE"/>
    <w:rsid w:val="50727F0A"/>
    <w:rsid w:val="53997D38"/>
    <w:rsid w:val="5510479D"/>
    <w:rsid w:val="56A570B5"/>
    <w:rsid w:val="57780712"/>
    <w:rsid w:val="5AF07C9D"/>
    <w:rsid w:val="5B501C5C"/>
    <w:rsid w:val="611B04DE"/>
    <w:rsid w:val="61857110"/>
    <w:rsid w:val="63AE5EAD"/>
    <w:rsid w:val="6B1F54B9"/>
    <w:rsid w:val="74245119"/>
    <w:rsid w:val="76E86DB9"/>
    <w:rsid w:val="773A43A6"/>
    <w:rsid w:val="786279D0"/>
    <w:rsid w:val="7BE11BCC"/>
    <w:rsid w:val="7D620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2022-11-01T01:40:00Z</dcterms:created>
  <dc:creator>HUAWEI</dc:creator>
  <cp:lastModifiedBy>　　　　　　</cp:lastModifiedBy>
  <dcterms:modified xsi:type="dcterms:W3CDTF">2022-11-16T03:17:00Z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A7CD0D9E30814EC2AC9E165902C45981</vt:lpwstr>
  </property>
</Properties>
</file>